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0000ff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000ff"/>
          <w:sz w:val="18"/>
          <w:szCs w:val="18"/>
          <w:highlight w:val="white"/>
        </w:rPr>
        <w:drawing>
          <wp:inline distB="0" distT="0" distL="0" distR="0">
            <wp:extent cx="1761955" cy="1760578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1955" cy="17605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317500</wp:posOffset>
                </wp:positionV>
                <wp:extent cx="3830269" cy="655472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40391" y="3461789"/>
                          <a:ext cx="3811219" cy="636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hnschrift SemiBold" w:cs="Bahnschrift SemiBold" w:eastAsia="Bahnschrift SemiBold" w:hAnsi="Bahnschrift Semi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ACERVO BIOCULTURAL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hnschrift SemiBold" w:cs="Bahnschrift SemiBold" w:eastAsia="Bahnschrift SemiBold" w:hAnsi="Bahnschrift Semi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hnschrift SemiBold" w:cs="Bahnschrift SemiBold" w:eastAsia="Bahnschrift SemiBold" w:hAnsi="Bahnschrift Semi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ahnschrift SemiBold" w:cs="Bahnschrift SemiBold" w:eastAsia="Bahnschrift SemiBold" w:hAnsi="Bahnschrift Semi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GRUPO ENTRE FOLHAS – PLANTAS MEDICINAIS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317500</wp:posOffset>
                </wp:positionV>
                <wp:extent cx="3830269" cy="655472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0269" cy="6554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0000f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0000f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rtl w:val="0"/>
        </w:rPr>
        <w:t xml:space="preserve">Roteiro Pedagógico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Título do vídeo: </w:t>
      </w:r>
      <w:r w:rsidDel="00000000" w:rsidR="00000000" w:rsidRPr="00000000">
        <w:rPr>
          <w:highlight w:val="white"/>
          <w:rtl w:val="0"/>
        </w:rPr>
        <w:t xml:space="preserve">Ancestralidade e Ervas Medicinais: saberes das matriarcas da Vila Clementina de Airões/MG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Acesso: </w:t>
      </w:r>
      <w:hyperlink r:id="rId9">
        <w:r w:rsidDel="00000000" w:rsidR="00000000" w:rsidRPr="00000000">
          <w:rPr>
            <w:b w:val="1"/>
            <w:u w:val="single"/>
            <w:rtl w:val="0"/>
          </w:rPr>
          <w:t xml:space="preserve">https://www.youtube.com/watch?v=MKTssVgZc8M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Público: </w:t>
      </w:r>
      <w:r w:rsidDel="00000000" w:rsidR="00000000" w:rsidRPr="00000000">
        <w:rPr>
          <w:rtl w:val="0"/>
        </w:rPr>
        <w:t xml:space="preserve">Educadores/as, demais interessados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Vínculo com a legislação educacional: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Cultura Afro-brasileira, educação ambiental, saúde, alimentação</w:t>
      </w:r>
    </w:p>
    <w:p w:rsidR="00000000" w:rsidDel="00000000" w:rsidP="00000000" w:rsidRDefault="00000000" w:rsidRPr="00000000" w14:paraId="0000000F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LEI Nº 11.645, DE 10 DE MARÇO DE 2008 Altera a Lei nº 9.394, de 20 de dezembro de 1996, modificada pela Lei nº 10.639, de 9 de janeiro de 2003</w:t>
      </w:r>
      <w:r w:rsidDel="00000000" w:rsidR="00000000" w:rsidRPr="00000000">
        <w:rPr>
          <w:rtl w:val="0"/>
        </w:rPr>
        <w:t xml:space="preserve">, que estabelece as diretrizes e bases da educação nacional, para incluir no currículo oficial da rede de ensino a obrigatoriedade da temática "História e Cultura Afro-Brasileira e Indígena".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LEI No 9.795, DE 27 DE ABRIL DE 1999. Dispõe sobre a educação ambiental, institui a Política Nacional de Educação Ambiental e dá outras providências. </w:t>
      </w:r>
      <w:r w:rsidDel="00000000" w:rsidR="00000000" w:rsidRPr="00000000">
        <w:rPr>
          <w:rtl w:val="0"/>
        </w:rPr>
        <w:t xml:space="preserve">Entendendo Educação ambiental enquanto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processo educativo</w:t>
      </w:r>
      <w:r w:rsidDel="00000000" w:rsidR="00000000" w:rsidRPr="00000000">
        <w:rPr>
          <w:highlight w:val="white"/>
          <w:rtl w:val="0"/>
        </w:rPr>
        <w:t xml:space="preserve"> voltado para a construção de valores associados a conservação do meio ambiente, bem de uso comum do povo, essencial à sadia qualidade de vida e sua sustentabilidade.</w:t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Lei n° 11.947/2009 – PNAE – Programa Nacional de Alimentação Escolar</w:t>
      </w:r>
      <w:r w:rsidDel="00000000" w:rsidR="00000000" w:rsidRPr="00000000">
        <w:rPr>
          <w:rtl w:val="0"/>
        </w:rPr>
        <w:t xml:space="preserve">. Dispõe sobre a garantia da alimentação saudável e diversificada nas escolas que respeitem a cultura, as tradições e os hábitos alimentares dos alunos; educação alimentar e nutricional em práticas saudáveis de vida na perspectiva da segurança alimentar e nutricional nas escolas.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Problematização:</w:t>
      </w:r>
    </w:p>
    <w:p w:rsidR="00000000" w:rsidDel="00000000" w:rsidP="00000000" w:rsidRDefault="00000000" w:rsidRPr="00000000" w14:paraId="00000017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Denúncia: Invisibilização dos saberes tradicionais, apagamento da sociobiodiversidade e supervalorização de espécies comerciais: enfraquecimento da autonomia e criação de dependências. Sugestão de questões geradoras: 1)Quais os impactos na saúde? No modo de vida? Na continuidade dos saberes ancestrais? </w:t>
      </w:r>
      <w:r w:rsidDel="00000000" w:rsidR="00000000" w:rsidRPr="00000000">
        <w:rPr>
          <w:rtl w:val="0"/>
        </w:rPr>
        <w:t xml:space="preserve">2)Como se deu esse apagamento?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Anúncio: Importância das matas e dos quintais para a continuidade das espécies de plantas medicinais e alimentícias, das culturas, dos saberes, das tecnologias (sociobiodiversidade) para saúde, bem-viver, autonomia e identidade. Sugestão de questões geradoras: 1</w:t>
      </w:r>
      <w:r w:rsidDel="00000000" w:rsidR="00000000" w:rsidRPr="00000000">
        <w:rPr>
          <w:rtl w:val="0"/>
        </w:rPr>
        <w:t xml:space="preserve">) Como é sua relação com os saberes da geração avó? </w:t>
      </w:r>
      <w:r w:rsidDel="00000000" w:rsidR="00000000" w:rsidRPr="00000000">
        <w:rPr>
          <w:highlight w:val="white"/>
          <w:rtl w:val="0"/>
        </w:rPr>
        <w:t xml:space="preserve"> 2) De que maneira a retomada da herança ancestral pode contribuir para a superação de crises socioambientais em que nos encontramos? </w:t>
      </w:r>
    </w:p>
    <w:p w:rsidR="00000000" w:rsidDel="00000000" w:rsidP="00000000" w:rsidRDefault="00000000" w:rsidRPr="00000000" w14:paraId="00000019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Relação do conteúdo com o tema transversal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Diversidade Cultural, Educação para valorização do multiculturalismo nas matrizes históricas e culturais brasileiras;</w:t>
      </w:r>
    </w:p>
    <w:p w:rsidR="00000000" w:rsidDel="00000000" w:rsidP="00000000" w:rsidRDefault="00000000" w:rsidRPr="00000000" w14:paraId="0000001C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</w:t>
      </w:r>
      <w:r w:rsidDel="00000000" w:rsidR="00000000" w:rsidRPr="00000000">
        <w:rPr>
          <w:rtl w:val="0"/>
        </w:rPr>
        <w:t xml:space="preserve">A Vila Clementina de Airões/MG é comunidade quilombola e as matriarcas da vila são guardiãs de saberes e práticas ancestrais. Esses conhecimentos são historicamente atacados e invisibilizados através do processo de colonização. Este material é ferramenta de trazer os saberes e a cultura para o centro, para a visibilidade, abrindo o espaço para o diálogo sobre a importância das culturas, por exemplo, na preservação da biodiversidade alimentar e medicinal.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- Saúde</w:t>
      </w:r>
      <w:r w:rsidDel="00000000" w:rsidR="00000000" w:rsidRPr="00000000">
        <w:rPr>
          <w:b w:val="1"/>
          <w:rtl w:val="0"/>
        </w:rPr>
        <w:t xml:space="preserve">, Educação Alimentar e Nutricional; </w:t>
      </w:r>
    </w:p>
    <w:p w:rsidR="00000000" w:rsidDel="00000000" w:rsidP="00000000" w:rsidRDefault="00000000" w:rsidRPr="00000000" w14:paraId="0000001F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Maluf &amp; Menezes (2000) apontam como norteadores da segurança alimentar: a qualidade nutricional dos alimentos, os hábitos/cultura alimentar e a sustentabilidade do sistema. Nesse sentido, o vídeo questiona a homogeneidade dos hábitos/sistemas alimentares e medicinais convencionais quando abre o diálogo para a saúde nutricional e educação alimentar a partir da variedade de alimentos e espécies medicinais que existem e que podem ser cultivados em pequenas extensões de terra. O diálogo sobre nossa concepção de saúde e como cuidamos dela é ponto fundamental, que pode surgir a partir da diversidade de chás e plantas de espiritualidade que são indissociáveis dos saberes tradicionais (ciência popular). </w:t>
      </w:r>
    </w:p>
    <w:p w:rsidR="00000000" w:rsidDel="00000000" w:rsidP="00000000" w:rsidRDefault="00000000" w:rsidRPr="00000000" w14:paraId="00000020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-Meio ambiente</w:t>
      </w:r>
      <w:r w:rsidDel="00000000" w:rsidR="00000000" w:rsidRPr="00000000">
        <w:rPr>
          <w:b w:val="1"/>
          <w:rtl w:val="0"/>
        </w:rPr>
        <w:t xml:space="preserve">, Educação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700.7874015748032"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 alimentação contemporânea tornou-se insustentável, por ser composta por alimentos de grande impacto ambiental e (...) que necessitam de vasta extensão de terra para sua produção, podendo exacerbar outros problemas relacionados à produção e ao suprimento de alimentos. (MARTINELLI; CAVALLI,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 contrapartida, os quintais e a biodiversidade alimentícia e medicinal estabelecem outra relação com o ambiente-território que pode trazer luz à série de problemas gerados pelo sistema convencional produtivo. Traz o entendimento de que a abundância está intrinsecamente relacionada à diversidade, que por sua vez é mola propulsora da resiliência do ambiente frente a desequilíbrios e, portanto, fundamental para a saúde do ambiente.</w:t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Referências:</w:t>
      </w:r>
    </w:p>
    <w:p w:rsidR="00000000" w:rsidDel="00000000" w:rsidP="00000000" w:rsidRDefault="00000000" w:rsidRPr="00000000" w14:paraId="00000028">
      <w:pPr>
        <w:spacing w:before="240" w:lineRule="auto"/>
        <w:rPr/>
      </w:pPr>
      <w:r w:rsidDel="00000000" w:rsidR="00000000" w:rsidRPr="00000000">
        <w:rPr>
          <w:rtl w:val="0"/>
        </w:rPr>
        <w:t xml:space="preserve">BNCC, Base Nacional Comum Curricular. 2017. Disponível em: &lt;</w:t>
      </w:r>
      <w:hyperlink r:id="rId10">
        <w:r w:rsidDel="00000000" w:rsidR="00000000" w:rsidRPr="00000000">
          <w:rPr>
            <w:color w:val="000000"/>
            <w:u w:val="single"/>
            <w:rtl w:val="0"/>
          </w:rPr>
          <w:t xml:space="preserve">anexo_texto_bncc (mec.gov.br)</w:t>
        </w:r>
      </w:hyperlink>
      <w:r w:rsidDel="00000000" w:rsidR="00000000" w:rsidRPr="00000000">
        <w:rPr>
          <w:rtl w:val="0"/>
        </w:rPr>
        <w:t xml:space="preserve">&gt;</w:t>
      </w:r>
    </w:p>
    <w:p w:rsidR="00000000" w:rsidDel="00000000" w:rsidP="00000000" w:rsidRDefault="00000000" w:rsidRPr="00000000" w14:paraId="00000029">
      <w:pPr>
        <w:spacing w:before="240" w:lineRule="auto"/>
        <w:rPr/>
      </w:pPr>
      <w:r w:rsidDel="00000000" w:rsidR="00000000" w:rsidRPr="00000000">
        <w:rPr>
          <w:rtl w:val="0"/>
        </w:rPr>
        <w:t xml:space="preserve">Lei n° 11.947/2009 – PNAE – Programa Nacional de Alimentação Escolar. Disponível em: </w:t>
      </w:r>
      <w:hyperlink r:id="rId11">
        <w:r w:rsidDel="00000000" w:rsidR="00000000" w:rsidRPr="00000000">
          <w:rPr>
            <w:color w:val="000000"/>
            <w:u w:val="single"/>
            <w:rtl w:val="0"/>
          </w:rPr>
          <w:t xml:space="preserve">https://www.bing.com/ck/a?!&amp;&amp;p=fa53f446976958c4JmltdHM9MTY2NTUzMjgwMCZpZ3VpZD0yMjAyZTVhNi05ZWM4LTYxZGMtMjFlZi1mNTczOWY5OTYwYTYmaW5zaWQ9NTE1OA&amp;ptn=3&amp;hsh=3&amp;fclid=2202e5a6-9ec8-61dc-21ef-f5739f9960a6&amp;psq=alimenta%c3%a7%c3%a3o+de+povos+originarios+nas+escolas+lei&amp;u=a1aHR0cHM6Ly93d3cuc2VkLnNjLmdvdi5ici9kb2N1bWVudG9zL2FsaW1lbnRhY2FvLWVzY29sYXItMjAxNS01MjUvbGVnaXNsYWNhby01MTcvMjM0NC1sZWktbi0xMS05NDctMjAwOS1wbmFlLTQxMjkvZmlsZQ&amp;ntb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rPr/>
      </w:pPr>
      <w:r w:rsidDel="00000000" w:rsidR="00000000" w:rsidRPr="00000000">
        <w:rPr>
          <w:highlight w:val="white"/>
          <w:rtl w:val="0"/>
        </w:rPr>
        <w:t xml:space="preserve">Maluf RS, Menezes F. Caderno 'segurança alimentar', 2000. Disponível em: &lt;</w:t>
      </w:r>
      <w:hyperlink r:id="rId12">
        <w:r w:rsidDel="00000000" w:rsidR="00000000" w:rsidRPr="00000000">
          <w:rPr>
            <w:color w:val="000000"/>
            <w:u w:val="single"/>
            <w:rtl w:val="0"/>
          </w:rPr>
          <w:t xml:space="preserve">Caderno ‘Segurança Alimentar’ Renato S. Maluf (CPDA/UFRRJ, Brasil) Francisco Menezes (IBASE, Brasil) Com a colaboração de Susana Bleil Marques (Partes 12-13) (1library.org)</w:t>
        </w:r>
      </w:hyperlink>
      <w:r w:rsidDel="00000000" w:rsidR="00000000" w:rsidRPr="00000000">
        <w:rPr>
          <w:rtl w:val="0"/>
        </w:rPr>
        <w:t xml:space="preserve">&gt;</w:t>
      </w:r>
    </w:p>
    <w:p w:rsidR="00000000" w:rsidDel="00000000" w:rsidP="00000000" w:rsidRDefault="00000000" w:rsidRPr="00000000" w14:paraId="0000002B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MARTINELLI, Suellen Secchi; CAVALLI, Suzi Barletto. Alimentação saudável e sustentável: uma revisão narrativa sobre desafios e perspectivas. </w:t>
      </w:r>
      <w:r w:rsidDel="00000000" w:rsidR="00000000" w:rsidRPr="00000000">
        <w:rPr>
          <w:b w:val="1"/>
          <w:highlight w:val="white"/>
          <w:rtl w:val="0"/>
        </w:rPr>
        <w:t xml:space="preserve">Ciência &amp; Saúde Coletiva</w:t>
      </w:r>
      <w:r w:rsidDel="00000000" w:rsidR="00000000" w:rsidRPr="00000000">
        <w:rPr>
          <w:highlight w:val="white"/>
          <w:rtl w:val="0"/>
        </w:rPr>
        <w:t xml:space="preserve">, [S.L.], v. 24, n. 11, p. 4251-4262, nov. 2019. FapUNIFESP (SciELO). </w:t>
      </w:r>
      <w:hyperlink r:id="rId13">
        <w:r w:rsidDel="00000000" w:rsidR="00000000" w:rsidRPr="00000000">
          <w:rPr>
            <w:color w:val="000000"/>
            <w:highlight w:val="white"/>
            <w:u w:val="single"/>
            <w:rtl w:val="0"/>
          </w:rPr>
          <w:t xml:space="preserve">http://dx.doi.org/10.1590/1413-812320182411.30572017</w:t>
        </w:r>
      </w:hyperlink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rtl w:val="0"/>
        </w:rPr>
        <w:t xml:space="preserve">TEMAS CONTEMPORÂNEOS TRANSVERSAIS NA BNCC, Contexto Histórico e Pressupostos Pedagógicos, 2019. Disponível em:&lt;</w:t>
      </w:r>
      <w:hyperlink r:id="rId14">
        <w:r w:rsidDel="00000000" w:rsidR="00000000" w:rsidRPr="00000000">
          <w:rPr>
            <w:color w:val="000000"/>
            <w:u w:val="single"/>
            <w:rtl w:val="0"/>
          </w:rPr>
          <w:t xml:space="preserve">contextualizacao_temas_contemporaneos.pdf (mec.gov.br)</w:t>
        </w:r>
      </w:hyperlink>
      <w:r w:rsidDel="00000000" w:rsidR="00000000" w:rsidRPr="00000000">
        <w:rPr>
          <w:rtl w:val="0"/>
        </w:rPr>
        <w:t xml:space="preserve">&gt;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2" w:customStyle="1">
    <w:name w:val="2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" w:customStyle="1">
    <w:name w:val="ref"/>
    <w:basedOn w:val="Fontepargpadro"/>
    <w:rsid w:val="00F42464"/>
  </w:style>
  <w:style w:type="character" w:styleId="Forte">
    <w:name w:val="Strong"/>
    <w:basedOn w:val="Fontepargpadro"/>
    <w:uiPriority w:val="22"/>
    <w:qFormat w:val="1"/>
    <w:rsid w:val="00F42464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F424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424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ing.com/ck/a?!&amp;&amp;p=fa53f446976958c4JmltdHM9MTY2NTUzMjgwMCZpZ3VpZD0yMjAyZTVhNi05ZWM4LTYxZGMtMjFlZi1mNTczOWY5OTYwYTYmaW5zaWQ9NTE1OA&amp;ptn=3&amp;hsh=3&amp;fclid=2202e5a6-9ec8-61dc-21ef-f5739f9960a6&amp;psq=alimenta%c3%a7%c3%a3o+de+povos+originarios+nas+escolas+lei&amp;u=a1aHR0cHM6Ly93d3cuc2VkLnNjLmdvdi5ici9kb2N1bWVudG9zL2FsaW1lbnRhY2FvLWVzY29sYXItMjAxNS01MjUvbGVnaXNsYWNhby01MTcvMjM0NC1sZWktbi0xMS05NDctMjAwOS1wbmFlLTQxMjkvZmlsZQ&amp;ntb=1" TargetMode="External"/><Relationship Id="rId10" Type="http://schemas.openxmlformats.org/officeDocument/2006/relationships/hyperlink" Target="http://portal.mec.gov.br/index.php?option=com_docman&amp;view=download&amp;alias=79601-anexo-texto-bncc-reexportado-pdf-2&amp;category_slug=dezembro-2017-pdf&amp;Itemid=30192" TargetMode="External"/><Relationship Id="rId13" Type="http://schemas.openxmlformats.org/officeDocument/2006/relationships/hyperlink" Target="http://dx.doi.org/10.1590/1413-812320182411.30572017" TargetMode="External"/><Relationship Id="rId12" Type="http://schemas.openxmlformats.org/officeDocument/2006/relationships/hyperlink" Target="https://1library.org/document/qo52vpom-caderno-seguran%C3%A7a-alimentar-renato-francisco-menezes-colabora%C3%A7%C3%A3o-marques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KTssVgZc8M" TargetMode="External"/><Relationship Id="rId14" Type="http://schemas.openxmlformats.org/officeDocument/2006/relationships/hyperlink" Target="http://www.basenacionalcomum.mec.gov.br/images/implementacao/contextualizacao_temas_contemporaneo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Hu+7jm8nQjOlZYTQulRNaZ+7Yg==">AMUW2mWo3DWZqQT8zRdvLyxmkRn9gRlq4C6RR/KMYZEvlkFLgAi8Tg3zqnfn+dlmp9zf5OOaKSLZCGJndc1L/WMYah6Pn0TvU0MufAzItr5J0D0zDOfCnBs=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2022-09-29T20:58:00Z</dcterms:created>
  <dc:creator>Usuario</dc:creator>
</cp:coreProperties>
</file>